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Notice of petitions affecting town or county</w:t>
      </w:r>
    </w:p>
    <w:p>
      <w:pPr>
        <w:jc w:val="both"/>
        <w:spacing w:before="100" w:after="100"/>
        <w:ind w:start="360"/>
        <w:ind w:firstLine="360"/>
      </w:pPr>
      <w:r>
        <w:rPr/>
      </w:r>
      <w:r>
        <w:rPr/>
      </w:r>
      <w:r>
        <w:t xml:space="preserve">Notice of any petition affecting the rights or interests of any town or county may be given to such town by serving it with a true copy of the petition at least 14 days before the session, and to such county by publishing as prescribed in </w:t>
      </w:r>
      <w:r>
        <w:t>section 121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 Notice of petitions affecting town or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Notice of petitions affecting town or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§122. NOTICE OF PETITIONS AFFECTING TOWN OR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