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 EXECUTIVE DIRECTOR OF THE LEGISLATIVE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