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Director</w:t>
      </w:r>
    </w:p>
    <w:p>
      <w:pPr>
        <w:jc w:val="both"/>
        <w:spacing w:before="100" w:after="100"/>
        <w:ind w:start="360"/>
        <w:ind w:firstLine="360"/>
      </w:pPr>
      <w:r>
        <w:rPr/>
      </w:r>
      <w:r>
        <w:rPr/>
      </w:r>
      <w:r>
        <w:t xml:space="preserve">The executive head of the Maine-Canadian Legislative Advisory Office is the director, who is appointed by the Speaker of the House and the President of the Senate with the approval of the Maine-Canadian Legislative Advisory Commission. The director must be paid a salary fixed by the Legislative Council from sums available under </w:t>
      </w:r>
      <w:r>
        <w:t>section 226</w:t>
      </w:r>
      <w:r>
        <w:t xml:space="preserve">. The director must be able to speak the French language fluently. The director shall report to and is subject to the direction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§224.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