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Mi'kmaq Nation designee; notification to Secretary of State</w:t>
      </w:r>
    </w:p>
    <w:p>
      <w:pPr>
        <w:jc w:val="both"/>
        <w:spacing w:before="100" w:after="100"/>
        <w:ind w:start="360"/>
        <w:ind w:firstLine="360"/>
      </w:pPr>
      <w:r>
        <w:rPr/>
      </w:r>
      <w:r>
        <w:rPr/>
      </w:r>
      <w:r>
        <w:t xml:space="preserve">The Chief of the Mi'kmaq Nation may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A designation, if any, must be in writing and filed with the Secretary of State.  The Secretary of State shall transmit certified copies of the designation to the Secretary of the Senate, the Clerk of the House of Representatives and the Revisor of Statutes.  The designation remains in effect until the Chief of the Mi'kmaq Nation rescinds the designation or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PL 2023, c. 620,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Mi'kmaq Nation designee; notification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Mi'kmaq Nation designee; notification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§603. MI'KMAQ NATION DESIGNEE; NOTIFICATION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