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Internal Revenue Code compliance</w:t>
      </w:r>
    </w:p>
    <w:p>
      <w:pPr>
        <w:jc w:val="both"/>
        <w:spacing w:before="100" w:after="100"/>
        <w:ind w:start="360"/>
        <w:ind w:firstLine="360"/>
      </w:pPr>
      <w:r>
        <w:rPr/>
      </w:r>
      <w:r>
        <w:rPr/>
      </w:r>
      <w:r>
        <w:t xml:space="preserve">The Legislative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§3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w:t>
      </w:r>
      <w:r>
        <w:t>Section 414(d)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Legislative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Legislative Retirement Program under the Internal Revenue Code as required for governmental defined benefit plans defined in the Code, </w:t>
      </w:r>
      <w:r>
        <w:t>Section 414(d)</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Internal Revenue Code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Internal Revenue Code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§705. INTERNAL REVENUE CODE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