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Scope</w:t>
      </w:r>
    </w:p>
    <w:p>
      <w:pPr>
        <w:jc w:val="both"/>
        <w:spacing w:before="100" w:after="100"/>
        <w:ind w:start="360"/>
        <w:ind w:firstLine="360"/>
      </w:pPr>
      <w:r>
        <w:rPr/>
      </w:r>
      <w:r>
        <w:rPr/>
      </w:r>
      <w:r>
        <w:t xml:space="preserve">This chapter provides for a system of periodic review of agencies and independent agencies of State Government in order to evaluate their efficacy and performance.  Only those agencies, independent agencies or parts of those agencies and independent agencies that receive support from the General Fund or that are established, created or incorporated by reference in the Maine Revised Statutes are subject to the provisions of this chapter. The financial and programmatic review must include, but is not limited to, a review of agency management and organization, program delivery, agency goals and objectives, statutory mandate and fiscal accountability.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