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Committee analysis and recommendations;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Committee analysis and recommendations;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§957. COMMITTEE ANALYSIS AND RECOMMENDATIONS;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