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Legal claims</w:t>
      </w:r>
    </w:p>
    <w:p>
      <w:pPr>
        <w:jc w:val="both"/>
        <w:spacing w:before="100" w:after="100"/>
        <w:ind w:start="360"/>
        <w:ind w:firstLine="360"/>
      </w:pPr>
      <w:r>
        <w:rPr/>
      </w:r>
      <w:r>
        <w:rPr/>
      </w:r>
      <w:r>
        <w:t xml:space="preserve">Termination, modification or establishment of agencies or independent agencies as a result of the review required by this chapter does not extinguish any legal claims against the State, any state employee or state agency or independent agency.  The provisions of this chapter do not relieve the State or any agency or independent agency of responsibility for making timely payment of the principal and interest of any debt issued in the form of a bond or note.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§962. Legal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Legal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§962. LEGAL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