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963</w:t>
        <w:t xml:space="preserve">.  </w:t>
      </w:r>
      <w:r>
        <w:rPr>
          <w:b/>
        </w:rPr>
        <w:t xml:space="preserve">Review</w:t>
      </w:r>
    </w:p>
    <w:p>
      <w:pPr>
        <w:jc w:val="both"/>
        <w:spacing w:before="100" w:after="100"/>
        <w:ind w:start="360"/>
        <w:ind w:firstLine="360"/>
      </w:pPr>
      <w:r>
        <w:rPr/>
      </w:r>
      <w:r>
        <w:rPr/>
      </w:r>
      <w:r>
        <w:t xml:space="preserve">The joint standing committee of the Legislature having jurisdiction over state and local government matters shall review the provisions and effects of this chapter no later than March 30, 2032 and at least once every 10 years thereafter.  The committee may report out legislation during the session of the Legislature in which a review under this section is completed.</w:t>
      </w:r>
      <w:r>
        <w:t xml:space="preserve">  </w:t>
      </w:r>
      <w:r xmlns:wp="http://schemas.openxmlformats.org/drawingml/2010/wordprocessingDrawing" xmlns:w15="http://schemas.microsoft.com/office/word/2012/wordml">
        <w:rPr>
          <w:rFonts w:ascii="Arial" w:hAnsi="Arial" w:cs="Arial"/>
          <w:sz w:val="22"/>
          <w:szCs w:val="22"/>
        </w:rPr>
        <w:t xml:space="preserve">[PL 2021, c. 617,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PL 2013, c. 505, §2 (AMD). PL 2021, c. 617,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§963.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§963.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§963.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