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Offices of jailer and sheriff vacant; appointment by county commissioners</w:t>
      </w:r>
    </w:p>
    <w:p>
      <w:pPr>
        <w:jc w:val="both"/>
        <w:spacing w:before="100" w:after="100"/>
        <w:ind w:start="360"/>
        <w:ind w:firstLine="360"/>
      </w:pPr>
      <w:r>
        <w:rPr/>
      </w:r>
      <w:r>
        <w:rPr/>
      </w:r>
      <w:r>
        <w:t xml:space="preserve">If the office of jailer becomes vacant while the office of sheriff is vacant, the county commissioners may appoint a jailer, who shall give bond as a sheriff is required to do and continue in office, if the appointment is confirmed at the commissioners' next meeting, during the vacancy in the office of sheriff or until a new jailer is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Offices of jailer and sheriff vacant; appointment by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Offices of jailer and sheriff vacant; appointment by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§1503. OFFICES OF JAILER AND SHERIFF VACANT; APPOINTMENT BY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