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w:t>
        <w:t xml:space="preserve">.  </w:t>
      </w:r>
      <w:r>
        <w:rPr>
          <w:b/>
        </w:rPr>
        <w:t xml:space="preserve">Bond required</w:t>
      </w:r>
    </w:p>
    <w:p>
      <w:pPr>
        <w:jc w:val="both"/>
        <w:spacing w:before="100" w:after="100"/>
        <w:ind w:start="360"/>
        <w:ind w:firstLine="360"/>
      </w:pPr>
      <w:r>
        <w:rPr/>
      </w:r>
      <w:r>
        <w:rPr/>
      </w:r>
      <w:r>
        <w:t xml:space="preserve">The person elected under </w:t>
      </w:r>
      <w:r>
        <w:t>section 152</w:t>
      </w:r>
      <w:r>
        <w:t xml:space="preserve"> and accepting the office of county treasurer shall give bond to the county for the faithful discharge of duties in the sum ordered by the commissioners and with such sureties as they approve in writing on the bond.  Surety and fidelity insurance coverage provided by a public sector self-funded risk pool organized pursuant to </w:t>
      </w:r>
      <w:r>
        <w:t>section 2253</w:t>
      </w:r>
      <w:r>
        <w:t xml:space="preserve"> in the sum ordered by the commissioners is deemed to comply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1999, c. 22,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22,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§153. Bond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 Bond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§153. BOND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