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Disposal of body of person who died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Disposal of body of person who died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§1563. DISPOSAL OF BODY OF PERSON WHO DIED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