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§1606. Prisoner voluntary participation in public works projects and in work projects within the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Prisoner voluntary participation in public works projects and in work projects within the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§1606. PRISONER VOLUNTARY PARTICIPATION IN PUBLIC WORKS PROJECTS AND IN WORK PROJECTS WITHIN THE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