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Collaboration among counties</w:t>
      </w:r>
    </w:p>
    <w:p>
      <w:pPr>
        <w:jc w:val="both"/>
        <w:spacing w:before="100" w:after="100"/>
        <w:ind w:start="360"/>
        <w:ind w:firstLine="360"/>
      </w:pPr>
      <w:r>
        <w:rPr/>
      </w:r>
      <w:r>
        <w:rPr/>
      </w:r>
      <w:r>
        <w:t xml:space="preserve">A county may collaborate with another county or counties to seek grants or establish community corrections programs or initiatives.</w:t>
      </w:r>
      <w:r>
        <w:t xml:space="preserve">  </w:t>
      </w:r>
      <w:r xmlns:wp="http://schemas.openxmlformats.org/drawingml/2010/wordprocessingDrawing" xmlns:w15="http://schemas.microsoft.com/office/word/2012/wordml">
        <w:rPr>
          <w:rFonts w:ascii="Arial" w:hAnsi="Arial" w:cs="Arial"/>
          <w:sz w:val="22"/>
          <w:szCs w:val="22"/>
        </w:rPr>
        <w:t xml:space="preserve">[PL 2015, c. 335,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§1661. Collaboration among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Collaboration among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§1661. COLLABORATION AMONG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