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Receipt of costs in favor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Receipt of costs in favor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§172. RECEIPT OF COSTS IN FAVOR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