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Exemption from taxation</w:t>
      </w:r>
    </w:p>
    <w:p>
      <w:pPr>
        <w:jc w:val="both"/>
        <w:spacing w:before="100" w:after="0"/>
        <w:ind w:start="360"/>
        <w:ind w:firstLine="360"/>
      </w:pPr>
      <w:r>
        <w:rPr>
          <w:b/>
        </w:rPr>
        <w:t>1</w:t>
        <w:t xml:space="preserve">.  </w:t>
      </w:r>
      <w:r>
        <w:rPr>
          <w:b/>
        </w:rPr>
        <w:t xml:space="preserve">Exemption.</w:t>
        <w:t xml:space="preserve"> </w:t>
      </w:r>
      <w:r>
        <w:t xml:space="preserve"> </w:t>
      </w:r>
      <w:r>
        <w:t xml:space="preserve">The property, both real and personal, rights and franchises of the jail authority formed under this chapter are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Payments in lieu of taxes.</w:t>
        <w:t xml:space="preserve"> </w:t>
      </w:r>
      <w:r>
        <w:t xml:space="preserve"> </w:t>
      </w:r>
      <w:r>
        <w:t xml:space="preserve">The jail authority may elect to make payments in lieu of taxes to communities in which its property is located or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§1804.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§1804.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