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Certificate to Secretary of State</w:t>
      </w:r>
    </w:p>
    <w:p>
      <w:pPr>
        <w:jc w:val="both"/>
        <w:spacing w:before="100" w:after="100"/>
        <w:ind w:start="360"/>
        <w:ind w:firstLine="360"/>
      </w:pPr>
      <w:r>
        <w:rPr/>
      </w:r>
      <w:r>
        <w:rPr/>
      </w:r>
      <w:r>
        <w:t xml:space="preserve">The municipal officers shall declare the results of any vote under this chapter and file a certificate of the result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Certificate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Certificate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§2156. CERTIFICATE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