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Intent</w:t>
      </w:r>
    </w:p>
    <w:p>
      <w:pPr>
        <w:jc w:val="both"/>
        <w:spacing w:before="100" w:after="100"/>
        <w:ind w:start="360"/>
        <w:ind w:firstLine="360"/>
      </w:pPr>
      <w:r>
        <w:rPr/>
      </w:r>
      <w:r>
        <w:rPr/>
      </w:r>
      <w:r>
        <w:t xml:space="preserve">The Legislature finds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Insurance protection necessary.</w:t>
        <w:t xml:space="preserve"> </w:t>
      </w:r>
      <w:r>
        <w:t xml:space="preserve"> </w:t>
      </w:r>
      <w:r>
        <w:t xml:space="preserve">Insurance protection is essential to the proper functioning of this State's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Burden on political subdivisions.</w:t>
        <w:t xml:space="preserve"> </w:t>
      </w:r>
      <w:r>
        <w:t xml:space="preserve"> </w:t>
      </w:r>
      <w:r>
        <w:t xml:space="preserve">The resources of political subdivisions are burdened by the securing of that protection through standard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Political subdivision services are vital.</w:t>
        <w:t xml:space="preserve"> </w:t>
      </w:r>
      <w:r>
        <w:t xml:space="preserve"> </w:t>
      </w:r>
      <w:r>
        <w:t xml:space="preserve">The services provided by this State's political subdivisions are vital to the people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Contributions to pool are public purpose.</w:t>
        <w:t xml:space="preserve"> </w:t>
      </w:r>
      <w:r>
        <w:t xml:space="preserve"> </w:t>
      </w:r>
      <w:r>
        <w:t xml:space="preserve">All financial and administrative contributions made by a political subdivision to a public self-funded pool, as authorized by </w:t>
      </w:r>
      <w:r>
        <w:t>chapter 115</w:t>
      </w:r>
      <w:r>
        <w:t xml:space="preserve"> and </w:t>
      </w:r>
      <w:r>
        <w:t>section 3001</w:t>
      </w:r>
      <w:r>
        <w:t xml:space="preserve"> and created under this chapter, are made for a public and governmental purpose and that the contributions benefit each contributing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§2251.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§2251.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