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Charter revisions</w:t>
      </w:r>
    </w:p>
    <w:p>
      <w:pPr>
        <w:jc w:val="both"/>
        <w:spacing w:before="100" w:after="0"/>
        <w:ind w:start="360"/>
        <w:ind w:firstLine="360"/>
      </w:pPr>
      <w:r>
        <w:rPr>
          <w:b/>
        </w:rPr>
        <w:t>1</w:t>
        <w:t xml:space="preserve">.  </w:t>
      </w:r>
      <w:r>
        <w:rPr>
          <w:b/>
        </w:rPr>
        <w:t xml:space="preserve">Board of trustees and municipal legislative bodies.</w:t>
        <w:t xml:space="preserve"> </w:t>
      </w:r>
      <w:r>
        <w:t xml:space="preserve"> </w:t>
      </w:r>
      <w:r>
        <w:t xml:space="preserve">If, after the board of trustees of the quasi-municipal corporation or district holds a public hearing on the proposed revision, a majority of the board and a majority of each municipal legislative body of the affected municipalities vote in favor of a revision of the charter of the quasi-municipal corporation or district, the proposed revision shall be submitted to the quasi-municipal corporation or district voters in each affected municipality according to the procedures in </w:t>
      </w:r>
      <w:r>
        <w:t>section 2354</w:t>
      </w:r>
      <w:r>
        <w:t xml:space="preserve">.  If the charter revision passes, the trustees of the quasi-municipal corporation or district shall submit that change to the joint standing committee of the Legislature having jurisdiction over utilities to be included in the annual omnibus legislation as provided in </w:t>
      </w:r>
      <w:r>
        <w:t>section 2355</w:t>
      </w:r>
      <w:r>
        <w:t xml:space="preserve">.  The revision is effective upon the effective date of the omnibus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Alternative method, initiated petition.</w:t>
        <w:t xml:space="preserve"> </w:t>
      </w:r>
      <w:r>
        <w:t xml:space="preserve"> </w:t>
      </w:r>
      <w:r>
        <w:t xml:space="preserve">On the written petition of a number of voters equal to at least 20% of the total number of the votes cast in the affected municipalities in the last gubernatorial election, but in no case less than 10 voters, the proposed revision shall be submitted to the quasi-municipal corporation or district voters in each affected municipality according to the procedures in </w:t>
      </w:r>
      <w:r>
        <w:t>section 2354</w:t>
      </w:r>
      <w:r>
        <w:t xml:space="preserve">.  If the charter revision passes, the trustees of the quasi-municipal corporation or district shall submit that change to the joint standing committee of the Legislature having jurisdiction over utilities to be included in the annual omnibus legislation as provided in </w:t>
      </w:r>
      <w:r>
        <w:t>section 2355</w:t>
      </w:r>
      <w:r>
        <w:t xml:space="preserve">.  The revision is effective upon the effective date of the omnibus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§2353. Charter revisions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Charter revisions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§2353. CHARTER REVISIONS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