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2357</w:t>
        <w:t xml:space="preserve">.  </w:t>
      </w:r>
      <w:r>
        <w:rPr>
          <w:b/>
        </w:rPr>
        <w:t xml:space="preserve">Public access to quasi-municipal decisions</w:t>
      </w:r>
    </w:p>
    <w:p>
      <w:pPr>
        <w:jc w:val="both"/>
        <w:spacing w:before="100" w:after="0"/>
        <w:ind w:start="360"/>
        <w:ind w:firstLine="360"/>
      </w:pPr>
      <w:r>
        <w:rPr>
          <w:b/>
        </w:rPr>
        <w:t>1</w:t>
        <w:t xml:space="preserve">.  </w:t>
      </w:r>
      <w:r>
        <w:rPr>
          <w:b/>
        </w:rPr>
        <w:t xml:space="preserve">Public notice and hearing required.</w:t>
        <w:t xml:space="preserve"> </w:t>
      </w:r>
      <w:r>
        <w:t xml:space="preserve"> </w:t>
      </w:r>
      <w:r>
        <w:t xml:space="preserve">All quasi-municipal corporations or districts must provide reasonable public notice and hearing, as provided by </w:t>
      </w:r>
      <w:r>
        <w:t>Title 5, section 8052, subsection 1</w:t>
      </w:r>
      <w:r>
        <w:t xml:space="preserve"> and </w:t>
      </w:r>
      <w:r>
        <w:t>Title 5, section 8053</w:t>
      </w:r>
      <w:r>
        <w:t xml:space="preserve">, before adopting any regulation or expanding or creating any program, except that notice need not be given to the Secretary of State for publication in the consolidated newspaper notice of agency rulemaking.  In addition to the preceding notice requirements, a quasi-municipal corporation or district must publish notice in a newspaper of general circulation in the service area of the corporation or district at least 17 days, but  not more than 24 days, in advance of a meeting at which a regulation will be adopted or a program expanded or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655, §1 (AMD).]</w:t>
      </w:r>
    </w:p>
    <w:p>
      <w:pPr>
        <w:jc w:val="both"/>
        <w:spacing w:before="100" w:after="0"/>
        <w:ind w:start="360"/>
        <w:ind w:firstLine="360"/>
      </w:pPr>
      <w:r>
        <w:rPr>
          <w:b/>
        </w:rPr>
        <w:t>2</w:t>
        <w:t xml:space="preserve">.  </w:t>
      </w:r>
      <w:r>
        <w:rPr>
          <w:b/>
        </w:rPr>
        <w:t xml:space="preserve">Regulation or program void.</w:t>
        <w:t xml:space="preserve"> </w:t>
      </w:r>
      <w:r>
        <w:t xml:space="preserve"> </w:t>
      </w:r>
      <w:r>
        <w:t xml:space="preserve">Except in the case of emergency regulations of limited duration, bond issues, rate proceedings or actions relating to indebtedness, any regulation adopted or program created or expanded by a quasi-municipal corporation or district after December 30, 1989, is void unless the quasi-municipal corporation or district provided reasonable public notice and hearing as required by </w:t>
      </w:r>
      <w:r>
        <w:t>subsection 1</w:t>
      </w:r>
      <w:r>
        <w:t xml:space="preserve"> before adopting the regulation or creating or expanding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479 (NEW).]</w:t>
      </w:r>
    </w:p>
    <w:p>
      <w:pPr>
        <w:jc w:val="both"/>
        <w:spacing w:before="100" w:after="0"/>
        <w:ind w:start="360"/>
        <w:ind w:firstLine="360"/>
      </w:pPr>
      <w:r>
        <w:rPr>
          <w:b/>
        </w:rPr>
        <w:t>3</w:t>
        <w:t xml:space="preserve">.  </w:t>
      </w:r>
      <w:r>
        <w:rPr>
          <w:b/>
        </w:rPr>
        <w:t xml:space="preserve">Exemption.</w:t>
        <w:t xml:space="preserve"> </w:t>
      </w:r>
      <w:r>
        <w:t xml:space="preserve"> </w:t>
      </w:r>
      <w:r>
        <w:t xml:space="preserve">This section does not apply to any public utility, as defined in </w:t>
      </w:r>
      <w:r>
        <w:t>Title 35‑A, section 102, subsection 13</w:t>
      </w:r>
      <w:r>
        <w:t xml:space="preserve">, regulated by the Public Utilities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479 (NEW). PL 1991, c. 226 (AMD). PL 1995, c. 655,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§2357. Public access to quasi-municipal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§2357. Public access to quasi-municipal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§2357. PUBLIC ACCESS TO QUASI-MUNICIPAL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