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Neglect of owners; function of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§2953. NEGLECT OF OWNERS; FUNCTION OF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