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Ordinance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Ordinance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§3001. ORDINANCE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