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Small borrow pits</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provisions apply to any borrow pit not otherwise within the jurisdiction of the Department of Environmental Protection, under </w:t>
      </w:r>
      <w:r>
        <w:t>Title 38, chapter 3, subchapter I, article 6</w:t>
      </w:r>
      <w:r>
        <w:t xml:space="preserve">, and which is not subject to a municipal ordinance enacted under </w:t>
      </w:r>
      <w:r>
        <w:t>subsection 2</w:t>
      </w:r>
      <w:r>
        <w:t xml:space="preserve">.</w:t>
      </w:r>
    </w:p>
    <w:p>
      <w:pPr>
        <w:jc w:val="both"/>
        <w:spacing w:before="100" w:after="0"/>
        <w:ind w:start="720"/>
      </w:pPr>
      <w:r>
        <w:rPr/>
        <w:t>A</w:t>
        <w:t xml:space="preserve">.  </w:t>
      </w:r>
      <w:r>
        <w:rPr/>
      </w:r>
      <w:r>
        <w:t xml:space="preserve">All borrow pits subject to this subsection shall comply with the following requirements.</w:t>
      </w:r>
    </w:p>
    <w:p>
      <w:pPr>
        <w:jc w:val="both"/>
        <w:spacing w:before="100" w:after="0"/>
        <w:ind w:start="1080"/>
      </w:pPr>
      <w:r>
        <w:rPr/>
        <w:t>(</w:t>
        <w:t>1</w:t>
        <w:t xml:space="preserve">)  </w:t>
      </w:r>
      <w:r>
        <w:rPr/>
      </w:r>
      <w:r>
        <w:t xml:space="preserve">The average slope of any cut bank measured from a point located 10 feet from the boundary of any abutting property to the bottom of the cut bank in the pit shall not exceed a horizontal to vertical ratio of 2:1.  The owner of the borrow pit is responsible for maintaining this condition.</w:t>
      </w:r>
    </w:p>
    <w:p>
      <w:pPr>
        <w:jc w:val="both"/>
        <w:spacing w:before="100" w:after="0"/>
        <w:ind w:start="1080"/>
      </w:pPr>
      <w:r>
        <w:rPr/>
        <w:t>(</w:t>
        <w:t>2</w:t>
        <w:t xml:space="preserve">)  </w:t>
      </w:r>
      <w:r>
        <w:rPr/>
      </w:r>
      <w:r>
        <w:t xml:space="preserve">The top of the cut bank of the borrow pit shall, at no time, be closer than 10 feet from the property boundary of any abutting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request of any owner of land abutting any borrow pit, the municipal officers shall conduct an inspection of the borrow pit to ascertain compliance with this subsection.</w:t>
      </w:r>
    </w:p>
    <w:p>
      <w:pPr>
        <w:jc w:val="both"/>
        <w:spacing w:before="100" w:after="0"/>
        <w:ind w:start="1080"/>
      </w:pPr>
      <w:r>
        <w:rPr/>
        <w:t>(</w:t>
        <w:t>1</w:t>
        <w:t xml:space="preserve">)  </w:t>
      </w:r>
      <w:r>
        <w:rPr/>
      </w:r>
      <w:r>
        <w:t xml:space="preserve">The municipal officers may request the Department of Transportation, Bureau of Project Development, Construction Division, to inspect the borrow pit in place of the municipal inspection.  The Construction Division shall conduct an inspection of the borrow pit in question when requested to do so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person or persons conducting the inspection shall report their findings to the municipal officers, the abutting landowner initiating the request and the owner of the borrow pit.  Measurements shall be made from the property line designated by the abutting property owner initiating the request.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If the borrow pit is in violation of this subsection, the owner is liable for the cost of the inspection.  If the borrow pit is not in violation of this subsection, the abutting landowner who made the request is liable for the cost of the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Upon notification of any violation under this subsection, the owner of the borrow pit shall bring the borrow pit into compliance with this subsection within 60 days.  The municipal officers may require a shorter compliance period if they find that the violation poses an imminent danger to public safety or private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owner of a borrow pit who fails to bring the borrow pit into compliance with this subsection is subject to a civil penalty not to exceed $50 per day for every day elapsing after the expiration of the compliance schedule established under </w:t>
      </w:r>
      <w:r>
        <w:t>paragraph E</w:t>
      </w:r>
      <w:r>
        <w:t xml:space="preserve">, payable to the municipality in which the borrow pit is located, to be recovered in a civil action brought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jurisdiction.</w:t>
        <w:t xml:space="preserve"> </w:t>
      </w:r>
      <w:r>
        <w:t xml:space="preserve"> </w:t>
      </w:r>
      <w:r>
        <w:t xml:space="preserve">A municipality may enact ordinances under its home rule authority regulating the siting, construction or operation of borrow pits not within the jurisdiction of the Department of Environmental Protection, under </w:t>
      </w:r>
      <w:r>
        <w:t>Title 38, chapter 3, subchapter I, article 6</w:t>
      </w:r>
      <w:r>
        <w:t xml:space="preserve">.  The ordinance must, at a minimum, include the requirements of </w:t>
      </w:r>
      <w:r>
        <w:t>subsection 1, paragraph A</w:t>
      </w:r>
      <w:r>
        <w:t xml:space="preserve">, but may include standards which exceed those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Small borrow pits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Small borrow pits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§3105. SMALL BORROW PITS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