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3109</w:t>
        <w:t xml:space="preserve">.  </w:t>
      </w:r>
      <w:r>
        <w:rPr>
          <w:b/>
        </w:rPr>
        <w:t xml:space="preserve">Broadcast television translator stations</w:t>
      </w:r>
    </w:p>
    <w:p>
      <w:pPr>
        <w:jc w:val="both"/>
        <w:spacing w:before="100" w:after="100"/>
        <w:ind w:start="360"/>
        <w:ind w:firstLine="360"/>
      </w:pPr>
      <w:r>
        <w:rPr/>
      </w:r>
      <w:r>
        <w:rPr/>
      </w:r>
      <w:r>
        <w:t xml:space="preserve">A municipality may receive federal grants or contributions for the construction and operation of a broadcast television translator station as described in 47 Code of Federal Regulations, Section 74.732 (2008).  Two or more municipalities may act jointly in performing the operations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117,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§3109. Broadcast television translator stations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§3109. Broadcast television translator stations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§3109. BROADCAST TELEVISION TRANSLATOR STATIONS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