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Safe zones designated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Safe zones designated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§3253. SAFE ZONES DESIGNATED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