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Service charges for sewage or storm 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Service charges for sewage or storm 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§3406. SERVICE CHARGES FOR SEWAGE OR STORM 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