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Damage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Damage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§3407. DAMAGE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