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4. Limitation on charte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Limitation on charte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4. LIMITATION ON CHARTE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