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3554</w:t>
        <w:t xml:space="preserve">.  </w:t>
      </w:r>
      <w:r>
        <w:rPr>
          <w:b/>
        </w:rPr>
        <w:t xml:space="preserve">Parties in interest</w:t>
      </w:r>
    </w:p>
    <w:p>
      <w:pPr>
        <w:jc w:val="both"/>
        <w:spacing w:before="100" w:after="100"/>
        <w:ind w:start="360"/>
        <w:ind w:firstLine="360"/>
      </w:pPr>
      <w:r>
        <w:rPr/>
      </w:r>
      <w:r>
        <w:rPr/>
      </w:r>
      <w:r>
        <w:t xml:space="preserve">Each lease made under this chapter must require that the lessee file with the municipality a statement under oath containing the names and addresses of the officers and directors, in the case of a corporation, and, in the case of a partnership or other voluntary association, the names and addresses of all persons having a financial interest in the lease.  A copy of all leases granted by the municipality shall be kept on file and shall be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§3554. Parties in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§3554. Parties in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§3554. PARTIES IN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