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3872</w:t>
        <w:t xml:space="preserve">.  </w:t>
      </w:r>
      <w:r>
        <w:rPr>
          <w:b/>
        </w:rPr>
        <w:t xml:space="preserve">Record of convictions to licensing authority</w:t>
      </w:r>
    </w:p>
    <w:p>
      <w:pPr>
        <w:jc w:val="both"/>
        <w:spacing w:before="100" w:after="100"/>
        <w:ind w:start="360"/>
        <w:ind w:firstLine="360"/>
      </w:pPr>
      <w:r>
        <w:rPr/>
      </w:r>
      <w:r>
        <w:rPr/>
      </w:r>
      <w:r>
        <w:t xml:space="preserve">The clerk of a court in which any person is convicted of a violation of this subchapter shall immediately send a copy of the record of the conviction to the licensing authority in the municipality where the offense occurred.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§3872. Record of convictions to licensing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§3872. Record of convictions to licensing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§3872. RECORD OF CONVICTIONS TO LICENSING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