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3961</w:t>
        <w:t xml:space="preserve">.  </w:t>
      </w:r>
      <w:r>
        <w:rPr>
          <w:b/>
        </w:rPr>
        <w:t xml:space="preserve">License</w:t>
      </w:r>
    </w:p>
    <w:p>
      <w:pPr>
        <w:jc w:val="both"/>
        <w:spacing w:before="100" w:after="100"/>
        <w:ind w:start="360"/>
        <w:ind w:firstLine="360"/>
      </w:pPr>
      <w:r>
        <w:rPr/>
      </w:r>
      <w:r>
        <w:rPr/>
      </w:r>
      <w:r>
        <w:t xml:space="preserve">The municipal officers of any municipality may grant licenses to persons of good moral character to be pawnbrokers in the municipality for one year, unless sooner revoked by the municipal officers for violation of law.  Whoever carries on such a business without a license commits a civil violation for which a forfeiture of not more than $100 may be adjudged.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§3961.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§3961.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§3961.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