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3964-A</w:t>
        <w:t xml:space="preserve">.  </w:t>
      </w:r>
      <w:r>
        <w:rPr>
          <w:b/>
        </w:rPr>
        <w:t xml:space="preserve">Regulation of pawnbrokers</w:t>
      </w:r>
    </w:p>
    <w:p>
      <w:pPr>
        <w:jc w:val="both"/>
        <w:spacing w:before="100" w:after="0"/>
        <w:ind w:start="360"/>
        <w:ind w:firstLine="360"/>
      </w:pPr>
      <w:r>
        <w:rPr>
          <w:b/>
        </w:rPr>
        <w:t>1</w:t>
        <w:t xml:space="preserve">.  </w:t>
      </w:r>
      <w:r>
        <w:rPr>
          <w:b/>
        </w:rPr>
        <w:t xml:space="preserve">Exemption from state license.</w:t>
        <w:t xml:space="preserve"> </w:t>
      </w:r>
      <w:r>
        <w:t xml:space="preserve"> </w:t>
      </w:r>
      <w:r>
        <w:t xml:space="preserve">A pawnbroker licensed by a municipality pursuant to </w:t>
      </w:r>
      <w:r>
        <w:t>section 3961</w:t>
      </w:r>
      <w:r>
        <w:t xml:space="preserve"> is not required to obtain a supervised lender's license pursuant to </w:t>
      </w:r>
      <w:r>
        <w:t>Title 9‑A, section 2‑301</w:t>
      </w:r>
      <w:r>
        <w:t xml:space="preserve"> in order to engage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2</w:t>
        <w:t xml:space="preserve">.  </w:t>
      </w:r>
      <w:r>
        <w:rPr>
          <w:b/>
        </w:rPr>
        <w:t xml:space="preserve">Application of law.</w:t>
        <w:t xml:space="preserve"> </w:t>
      </w:r>
      <w:r>
        <w:t xml:space="preserve"> </w:t>
      </w:r>
      <w:r>
        <w:t xml:space="preserve">Pawnbrokers are subject to </w:t>
      </w:r>
      <w:r>
        <w:t>Title 9‑A, sections 6‑104</w:t>
      </w:r>
      <w:r>
        <w:t xml:space="preserve">, </w:t>
      </w:r>
      <w:r>
        <w:t>6‑106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3</w:t>
        <w:t xml:space="preserve">.  </w:t>
      </w:r>
      <w:r>
        <w:rPr>
          <w:b/>
        </w:rPr>
        <w:t xml:space="preserve">Model forms.</w:t>
        <w:t xml:space="preserve"> </w:t>
      </w:r>
      <w:r>
        <w:t xml:space="preserve"> </w:t>
      </w:r>
      <w:r>
        <w:t xml:space="preserve">The Superintendent of Consumer Credit Protection may issue model disclosure forms and clauses to facilitate compliance with the disclosure and computational requirements of this subchapter, pursuant to the truth-in-lending provisions of the Maine Consumer Credit Code, </w:t>
      </w:r>
      <w:r>
        <w:t>Title 9‑A,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§8 (AMD).]</w:t>
      </w:r>
    </w:p>
    <w:p>
      <w:pPr>
        <w:jc w:val="both"/>
        <w:spacing w:before="100" w:after="0"/>
        <w:ind w:start="360"/>
        <w:ind w:firstLine="360"/>
      </w:pPr>
      <w:r>
        <w:rPr>
          <w:b/>
        </w:rPr>
        <w:t>4</w:t>
        <w:t xml:space="preserve">.  </w:t>
      </w:r>
      <w:r>
        <w:rPr>
          <w:b/>
        </w:rPr>
        <w:t xml:space="preserve">Privacy of consumer financial information.</w:t>
        <w:t xml:space="preserve"> </w:t>
      </w:r>
      <w:r>
        <w:t xml:space="preserve"> </w:t>
      </w:r>
      <w:r>
        <w:t xml:space="preserve">A pawnbroker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pawnbroker is a financial institution as defined in those regulations.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 PL 1995, c. 309, §27 (AMD). PL 1995, c. 309, §29 (AFF). PL 2001, c. 262, §E1 (AMD). PL 2011, c. 427, Pt. D, §19 (AMD). PL 2021, c. 245,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§3964-A. Regulation of pawnbrokers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§3964-A. Regulation of pawnbrokers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§3964-A. REGULATION OF PAWNBROKERS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