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County officer's private benefit from county labor</w:t>
      </w:r>
    </w:p>
    <w:p>
      <w:pPr>
        <w:jc w:val="both"/>
        <w:spacing w:before="100" w:after="100"/>
        <w:ind w:start="360"/>
        <w:ind w:firstLine="360"/>
      </w:pPr>
      <w:r>
        <w:rPr/>
      </w:r>
      <w:r>
        <w:rPr/>
      </w:r>
      <w:r>
        <w:t xml:space="preserve">No county officer may receive a private benefit from the labor of any person employed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County officer's private benefit from county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County officer's private benefit from county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 COUNTY OFFICER'S PRIVATE BENEFIT FROM COUNTY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