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Optional arrest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Optional arrest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§405. OPTIONAL ARREST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