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Municipalities may establish design criteria, including, but not limited to, a pitched, shingled roof; a permanent foundation; and exterior siding that is residential in appearance, as long as:</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are not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that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provision of law to the contrary, manufactured housing and any modular home that meets construction standards for state-certified manufactured housing adopted pursuant to Title 10, section 9042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552,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PL 2023, c. 552,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§4358.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§4358.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