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§4455. REGISTRATION FOR AUTHORITY TO REGULATE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