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§4457. Assumption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Assumption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§4457. ASSUMPTION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