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Communications centers</w:t>
      </w:r>
    </w:p>
    <w:p>
      <w:pPr>
        <w:jc w:val="both"/>
        <w:spacing w:before="100" w:after="100"/>
        <w:ind w:start="360"/>
        <w:ind w:firstLine="360"/>
      </w:pPr>
      <w:r>
        <w:rPr/>
      </w:r>
      <w:r>
        <w:rPr/>
      </w:r>
      <w:r>
        <w:t xml:space="preserve">Each county may establish a communications center, separate from any communications function of the sheriff's department and capable of serving the communication needs of the county and the municipalities that may wish to use the center.</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municipal officers, are responsible for setting policies for the communications center.  They shall appoint a director or chief dispatcher who is responsible for carrying out their policies.  The director or chief dispatcher, if qualified, may be the director of the county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communications center shall provide communication services for the sheriff's department, county emergency management agency, county or municipal rescue or ambulance services, county or municipal fire departments or municipal police departments.</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the director or chief dispatcher, may enter into an agreement with a municipality under </w:t>
      </w:r>
      <w:r>
        <w:t>section 107</w:t>
      </w:r>
      <w:r>
        <w:t xml:space="preserve"> to provide specific communications for municipal law enforcement functions, including dispatching of municipal units,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Communications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Communications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§453. COMMUNICATIONS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