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§4754-A. FIRST OPTION TO PURCHASE SURPLUS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