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§4766. Emergency Housing Matching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§4766. Emergency Housing Matching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§4766. EMERGENCY HOUSING MATCHING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