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Employment and dismissal of county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Employment and dismissal of county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 EMPLOYMENT AND DISMISSAL OF COUNTY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