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5235</w:t>
        <w:t xml:space="preserve">.  </w:t>
      </w:r>
      <w:r>
        <w:rPr>
          <w:b/>
        </w:rPr>
        <w:t xml:space="preserve">Unorganized territory</w:t>
      </w:r>
    </w:p>
    <w:p>
      <w:pPr>
        <w:jc w:val="both"/>
        <w:spacing w:before="100" w:after="100"/>
        <w:ind w:start="360"/>
        <w:ind w:firstLine="360"/>
      </w:pPr>
      <w:r>
        <w:rPr/>
      </w:r>
      <w:r>
        <w:rPr/>
      </w:r>
      <w:r>
        <w:t xml:space="preserve">For the purposes of this 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 For purposes of </w:t>
      </w:r>
      <w:r>
        <w:t>section 5228</w:t>
      </w:r>
      <w:r>
        <w:t xml:space="preserve">, the State acts as the municipal assessing authority.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§5235.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§5235.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§5235.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