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and through 2024, and on or before March 1st annually thereafter, the commissioner shall report to the joint standing committees of the Legislature having jurisdiction over taxation matters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 municipality in this State in which the business's primary place of business is located and business type, including the parent company of the business, if applicable, of each qualified Pine Tree Development Zone business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2023, c. 631,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§1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PL 2023, c. 631,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§5250-P. Annual reporting;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§5250-P. Annual reporting;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§5250-P. ANNUAL REPORTING;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