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5355</w:t>
        <w:t xml:space="preserve">.  </w:t>
      </w:r>
      <w:r>
        <w:rPr>
          <w:b/>
        </w:rPr>
        <w:t xml:space="preserve">Cooperation in carrying out approved development plan</w:t>
      </w:r>
    </w:p>
    <w:p>
      <w:pPr>
        <w:jc w:val="both"/>
        <w:spacing w:before="100" w:after="100"/>
        <w:ind w:start="360"/>
        <w:ind w:firstLine="360"/>
      </w:pPr>
      <w:r>
        <w:rPr/>
      </w:r>
      <w:r>
        <w:rPr/>
      </w:r>
      <w:r>
        <w:t xml:space="preserve">If the municipal legislative body approves a development plan for a project area, the municipality and its urban renewal authority may cooperate with the educational institution of higher learning, hospital or private redevelopment corporation in carrying out the approved development plan and, for that purpose, may contract with the educational institution, hospital or private redevelopment corporation for the exercise of any of the powers of the municipality and its urban renewal authority.  Any municipality or its urban renewal authority, any state educational institution of higher learning and, when authorized by a city, any educational institution of higher learning or hospital established and maintained by any city may do all things and may take any actions that are necessary or desirable to ensure that it obtains credit as a local grant-in-aid for the aggregate amount of expenditures made by any such educational institution, hospital or redevelopment corporation which would be eligible under the United States Housing Act of 1949, Title I,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§5355. Cooperation in carrying out approved development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§5355. Cooperation in carrying out approved development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§5355. COOPERATION IN CARRYING OUT APPROVED DEVELOPMENT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