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5651</w:t>
        <w:t xml:space="preserve">.  </w:t>
      </w:r>
      <w:r>
        <w:rPr>
          <w:b/>
        </w:rPr>
        <w:t xml:space="preserve">Determination of municipal year; change</w:t>
      </w:r>
    </w:p>
    <w:p>
      <w:pPr>
        <w:jc w:val="both"/>
        <w:spacing w:before="100" w:after="100"/>
        <w:ind w:start="360"/>
        <w:ind w:firstLine="360"/>
      </w:pPr>
      <w:r>
        <w:rPr/>
      </w:r>
      <w:r>
        <w:rPr/>
      </w:r>
      <w:r>
        <w:t xml:space="preserve">The municipal officers shall determine the municipal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municipality or plantation may raise one or 2 taxes during a single valuation if the taxes raised are based on appropriations made for a municipal fiscal year that does not exceed 18 months.  A municipal or plantation fiscal year may extend beyond the end of the current tax year and the municipal officers or assessors of a plantation, when changing the municipality's or plantation's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§5651. Determination of municipal year;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§5651. Determination of municipal year;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§5651. DETERMINATION OF MUNICIPAL YEAR;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