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§5773. Borrowing in anticipation of federal or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§5773. BORROWING IN ANTICIPATION OF FEDERAL OR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