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5952</w:t>
        <w:t xml:space="preserve">.  </w:t>
      </w:r>
      <w:r>
        <w:rPr>
          <w:b/>
        </w:rPr>
        <w:t xml:space="preserve">Conflict of interest</w:t>
      </w:r>
    </w:p>
    <w:p>
      <w:pPr>
        <w:jc w:val="both"/>
        <w:spacing w:before="100" w:after="100"/>
        <w:ind w:start="360"/>
        <w:ind w:firstLine="360"/>
      </w:pPr>
      <w:r>
        <w:rPr/>
      </w:r>
      <w:r>
        <w:rPr/>
      </w:r>
      <w:r>
        <w:t xml:space="preserve">No commissioner of the bank may participate in any decision on any contract entered into by the bank, if the commissioner has any pecuniary interest, direct or indirect in any firm, partnership, corporation or association which is or may be a party to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Contracts or agreements obtained through properly advertised bid procedures, or the ownership of stock or other interest in any firm, partnership, corporation or association in which the commissioner does not actively participate in day-to-day management shall not be interpreted as a direct or indirect pecuniary interest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§5952.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§5952.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§5952.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