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§5953-B. Loans from safe drinking water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§5953-B. Loans from safe drinking water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§5953-B. LOANS FROM SAFE DRINKING WATER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