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6014</w:t>
        <w:t xml:space="preserve">.  </w:t>
      </w:r>
      <w:r>
        <w:rPr>
          <w:b/>
        </w:rPr>
        <w:t xml:space="preserve">Governmental unit intercept</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the bank or this chapter.  Unless otherwise directed by federal authority, these amounts must be credited to and deposited in the General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The Treasurer of State shall pay and deposit in the General Fund and make available to the bank, any funds or money in the treasurer's custody or control whether the funds or money is available because of any grant, allocation or appropriation by the Federal Government or the State or any state agency to assist any governmental unit in paying its municipal securities or school construction loan liability under </w:t>
      </w:r>
      <w:r>
        <w:t>section 5953‑E</w:t>
      </w:r>
      <w:r>
        <w:t xml:space="preserve">, referred to in this section as "loan liability," owned or held by the bank, or required by the terms of any other law to be paid to holders or owners of municipal securities or loan liability upon failure or default of a governmental unit to pay the principal of or interest on its municipal securities or loan liability when due and payable, to the extent that any such funds or money is applicable with respect to municipal securities or loan liability of a particular governmental unit that are then owned or held by the bank and as to which that governmental unit has failed or defaulted to make payment of principal or interest as and when due and payable.</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To the extent that the Treasurer of State is the custodian of any funds or money due or payable to a governmental unit at any time after written notice to the Treasurer of State from the bank to the effect that the governmental unit has not paid or is in default as to the payment of principal of or interest on any municipal securities or loan liability of that governmental unit then held or owned by the bank, the Treasurer of State shall withhold the payment of such funds or money from the governmental unit until the amount of the principal or interest then due and unpaid has been paid to the bank, or the Treasurer of State has been advised that arrangements, satisfactory to the bank, have been made for the payment of the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§6014. Governmental unit intercept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§6014. Governmental unit intercept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§6014. GOVERNMENTAL UNIT INTERCEPT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