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6107</w:t>
        <w:t xml:space="preserve">.  </w:t>
      </w:r>
      <w:r>
        <w:rPr>
          <w:b/>
        </w:rPr>
        <w:t xml:space="preserve">Powers and duties of commissioners</w:t>
      </w:r>
    </w:p>
    <w:p>
      <w:pPr>
        <w:jc w:val="both"/>
        <w:spacing w:before="100" w:after="100"/>
        <w:ind w:start="360"/>
        <w:ind w:firstLine="360"/>
      </w:pPr>
      <w:r>
        <w:rPr>
          <w:b/>
        </w:rPr>
        <w:t>1</w:t>
        <w:t xml:space="preserve">.  </w:t>
      </w:r>
      <w:r>
        <w:rPr>
          <w:b/>
        </w:rPr>
        <w:t xml:space="preserve">Employees; compensation; appropriation.</w:t>
        <w:t xml:space="preserve"> </w:t>
      </w:r>
      <w:r>
        <w:t xml:space="preserve"> </w:t>
      </w:r>
      <w:r>
        <w:t xml:space="preserve">The commissioner or commissioners appointed under </w:t>
      </w:r>
      <w:r>
        <w:t>section 6106</w:t>
      </w:r>
      <w:r>
        <w:t xml:space="preserve"> may employ any experts, counsel and other assistants and incur any other expenses that they consider necessary, subject to the control of the board.  The municipality shall:</w:t>
      </w:r>
    </w:p>
    <w:p>
      <w:pPr>
        <w:jc w:val="both"/>
        <w:spacing w:before="100" w:after="0"/>
        <w:ind w:start="720"/>
      </w:pPr>
      <w:r>
        <w:rPr/>
        <w:t>A</w:t>
        <w:t xml:space="preserve">.  </w:t>
      </w:r>
      <w:r>
        <w:rPr/>
      </w:r>
      <w:r>
        <w:t xml:space="preserve">Appropriate each year a sum sufficient to cover those expenses and a reasonable compensation, set by the board,  for the commissioner or commissioners;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Pay this sum upon requisition of the commissioner or commissioners.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commissioner or commissioners have the same right to incur expenses in anticipation of its appropriation as if it were a regular department of the municipality.  If no such appropriation is made, the commissioner or commissioners may expend the amount found necessary under this section.  That payment is a lawful obligation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Supervision of financial affairs.</w:t>
        <w:t xml:space="preserve"> </w:t>
      </w:r>
      <w:r>
        <w:t xml:space="preserve"> </w:t>
      </w:r>
      <w:r>
        <w:t xml:space="preserve">The commissioner or commissioners shall supervise the municipality's financial affairs.  No appropriation may be made and no debt incurred, except with the written approval or upon the written recommendation or requisition of the commissioner or commissioners. No department or officer of the municipality may expend any money or incur any liability, except with the written approval of the commissioner or commissioners.  The commissioner or commissioners may from time to time authorize in writing any department or officer of the municipality to make expenditures or incur liabilities without the commissioner or commissioners' written approval until further notice.  The commissioner or commissioners may make recommendations in writing to any department or officer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§6107. Powers and duties of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§6107. Powers and duties of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§6107. POWERS AND DUTIES OF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